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sz w:val="52"/>
          <w:szCs w:val="84"/>
          <w:lang w:eastAsia="zh-CN"/>
        </w:rPr>
      </w:pPr>
      <w:r>
        <w:rPr>
          <w:rFonts w:ascii="宋体" w:hAnsi="宋体"/>
          <w:b/>
          <w:sz w:val="52"/>
          <w:szCs w:val="84"/>
        </w:rPr>
        <w:t>广东省广裕集团东莞兴龙实业有限公司办公设备购置项目</w:t>
      </w:r>
      <w:r>
        <w:rPr>
          <w:rFonts w:hint="eastAsia" w:ascii="宋体" w:hAnsi="宋体"/>
          <w:b/>
          <w:sz w:val="52"/>
          <w:szCs w:val="84"/>
          <w:lang w:eastAsia="zh-CN"/>
        </w:rPr>
        <w:t>投标邀请</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广东建海工程项目管理有限公司受广东省广裕集团东莞兴龙实业有限公司（采购人）的委托，对“广东省广裕集团东莞兴龙实业有限公司办公设备购置项目”进行公开招标采购，欢迎符合资格条件的供应商投标。</w:t>
      </w:r>
    </w:p>
    <w:p>
      <w:pPr>
        <w:keepNext w:val="0"/>
        <w:keepLines w:val="0"/>
        <w:pageBreakBefore w:val="0"/>
        <w:widowControl w:val="0"/>
        <w:kinsoku/>
        <w:wordWrap/>
        <w:overflowPunct/>
        <w:topLinePunct w:val="0"/>
        <w:autoSpaceDE w:val="0"/>
        <w:autoSpaceDN w:val="0"/>
        <w:bidi w:val="0"/>
        <w:adjustRightInd/>
        <w:snapToGrid w:val="0"/>
        <w:spacing w:line="360" w:lineRule="auto"/>
        <w:ind w:firstLine="480" w:firstLineChars="200"/>
        <w:jc w:val="left"/>
        <w:textAlignment w:val="auto"/>
        <w:outlineLvl w:val="9"/>
        <w:rPr>
          <w:rFonts w:hint="eastAsia" w:ascii="宋体" w:hAnsi="宋体"/>
          <w:sz w:val="24"/>
          <w:lang w:val="zh-CN"/>
        </w:rPr>
      </w:pPr>
      <w:r>
        <w:rPr>
          <w:rFonts w:hint="eastAsia" w:ascii="宋体" w:hAnsi="宋体"/>
          <w:sz w:val="24"/>
          <w:lang w:val="zh-CN"/>
        </w:rPr>
        <w:t>一、采购项目编号：GDJH-A020101-20210623</w:t>
      </w:r>
    </w:p>
    <w:p>
      <w:pPr>
        <w:keepNext w:val="0"/>
        <w:keepLines w:val="0"/>
        <w:pageBreakBefore w:val="0"/>
        <w:widowControl w:val="0"/>
        <w:kinsoku/>
        <w:wordWrap/>
        <w:overflowPunct/>
        <w:topLinePunct w:val="0"/>
        <w:autoSpaceDE w:val="0"/>
        <w:autoSpaceDN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二、采购项目名称：广东省广裕集团东莞兴龙实业有限公司办公设备购置项目</w:t>
      </w:r>
    </w:p>
    <w:p>
      <w:pPr>
        <w:keepNext w:val="0"/>
        <w:keepLines w:val="0"/>
        <w:pageBreakBefore w:val="0"/>
        <w:widowControl w:val="0"/>
        <w:kinsoku/>
        <w:wordWrap/>
        <w:overflowPunct/>
        <w:topLinePunct w:val="0"/>
        <w:autoSpaceDE w:val="0"/>
        <w:autoSpaceDN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三、采购项目预算：61.88万元</w:t>
      </w:r>
    </w:p>
    <w:p>
      <w:pPr>
        <w:keepNext w:val="0"/>
        <w:keepLines w:val="0"/>
        <w:pageBreakBefore w:val="0"/>
        <w:widowControl w:val="0"/>
        <w:kinsoku/>
        <w:wordWrap/>
        <w:overflowPunct/>
        <w:topLinePunct w:val="0"/>
        <w:autoSpaceDE w:val="0"/>
        <w:autoSpaceDN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四、采购数量：1项</w:t>
      </w:r>
    </w:p>
    <w:p>
      <w:pPr>
        <w:keepNext w:val="0"/>
        <w:keepLines w:val="0"/>
        <w:pageBreakBefore w:val="0"/>
        <w:widowControl w:val="0"/>
        <w:kinsoku/>
        <w:wordWrap/>
        <w:overflowPunct/>
        <w:topLinePunct w:val="0"/>
        <w:autoSpaceDE w:val="0"/>
        <w:autoSpaceDN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五、项目内容及需求：</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827"/>
        <w:gridCol w:w="2037"/>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526" w:type="dxa"/>
            <w:noWrap w:val="0"/>
            <w:vAlign w:val="center"/>
          </w:tcPr>
          <w:p>
            <w:pPr>
              <w:autoSpaceDE w:val="0"/>
              <w:autoSpaceDN w:val="0"/>
              <w:snapToGrid w:val="0"/>
              <w:spacing w:line="360" w:lineRule="auto"/>
              <w:jc w:val="center"/>
              <w:rPr>
                <w:rFonts w:hint="eastAsia" w:ascii="宋体" w:hAnsi="宋体"/>
                <w:sz w:val="24"/>
                <w:szCs w:val="21"/>
              </w:rPr>
            </w:pPr>
            <w:r>
              <w:rPr>
                <w:rFonts w:hint="eastAsia" w:ascii="宋体" w:hAnsi="宋体"/>
                <w:sz w:val="24"/>
                <w:szCs w:val="21"/>
              </w:rPr>
              <w:t>序号</w:t>
            </w:r>
          </w:p>
        </w:tc>
        <w:tc>
          <w:tcPr>
            <w:tcW w:w="3827" w:type="dxa"/>
            <w:noWrap w:val="0"/>
            <w:vAlign w:val="center"/>
          </w:tcPr>
          <w:p>
            <w:pPr>
              <w:autoSpaceDE w:val="0"/>
              <w:autoSpaceDN w:val="0"/>
              <w:snapToGrid w:val="0"/>
              <w:spacing w:line="360" w:lineRule="auto"/>
              <w:jc w:val="center"/>
              <w:rPr>
                <w:rFonts w:hint="eastAsia" w:ascii="宋体" w:hAnsi="宋体"/>
                <w:sz w:val="24"/>
                <w:szCs w:val="21"/>
              </w:rPr>
            </w:pPr>
            <w:r>
              <w:rPr>
                <w:rFonts w:hint="eastAsia" w:ascii="宋体" w:hAnsi="宋体"/>
                <w:sz w:val="24"/>
                <w:szCs w:val="21"/>
              </w:rPr>
              <w:t>项目内容</w:t>
            </w:r>
          </w:p>
        </w:tc>
        <w:tc>
          <w:tcPr>
            <w:tcW w:w="2037" w:type="dxa"/>
            <w:noWrap w:val="0"/>
            <w:vAlign w:val="center"/>
          </w:tcPr>
          <w:p>
            <w:pPr>
              <w:autoSpaceDE w:val="0"/>
              <w:autoSpaceDN w:val="0"/>
              <w:snapToGrid w:val="0"/>
              <w:spacing w:line="360" w:lineRule="auto"/>
              <w:jc w:val="center"/>
              <w:rPr>
                <w:rFonts w:hint="eastAsia" w:ascii="宋体" w:hAnsi="宋体"/>
                <w:sz w:val="24"/>
                <w:szCs w:val="21"/>
              </w:rPr>
            </w:pPr>
            <w:r>
              <w:rPr>
                <w:rFonts w:hint="eastAsia" w:ascii="宋体" w:hAnsi="宋体"/>
                <w:sz w:val="24"/>
                <w:szCs w:val="21"/>
              </w:rPr>
              <w:t>数量</w:t>
            </w:r>
          </w:p>
        </w:tc>
        <w:tc>
          <w:tcPr>
            <w:tcW w:w="2464" w:type="dxa"/>
            <w:noWrap w:val="0"/>
            <w:vAlign w:val="center"/>
          </w:tcPr>
          <w:p>
            <w:pPr>
              <w:autoSpaceDE w:val="0"/>
              <w:autoSpaceDN w:val="0"/>
              <w:snapToGrid w:val="0"/>
              <w:spacing w:line="360" w:lineRule="auto"/>
              <w:jc w:val="center"/>
              <w:rPr>
                <w:rFonts w:hint="eastAsia" w:ascii="宋体" w:hAnsi="宋体"/>
                <w:sz w:val="24"/>
                <w:szCs w:val="21"/>
              </w:rPr>
            </w:pPr>
            <w:r>
              <w:rPr>
                <w:rFonts w:hint="eastAsia" w:ascii="宋体" w:hAnsi="宋体"/>
                <w:sz w:val="24"/>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526" w:type="dxa"/>
            <w:noWrap w:val="0"/>
            <w:vAlign w:val="center"/>
          </w:tcPr>
          <w:p>
            <w:pPr>
              <w:autoSpaceDE w:val="0"/>
              <w:autoSpaceDN w:val="0"/>
              <w:snapToGrid w:val="0"/>
              <w:spacing w:line="360" w:lineRule="auto"/>
              <w:jc w:val="center"/>
              <w:rPr>
                <w:rFonts w:hint="eastAsia" w:ascii="宋体" w:hAnsi="宋体"/>
                <w:sz w:val="24"/>
                <w:szCs w:val="21"/>
              </w:rPr>
            </w:pPr>
            <w:r>
              <w:rPr>
                <w:rFonts w:hint="eastAsia" w:ascii="宋体" w:hAnsi="宋体"/>
                <w:sz w:val="24"/>
                <w:szCs w:val="21"/>
              </w:rPr>
              <w:t>1</w:t>
            </w:r>
          </w:p>
        </w:tc>
        <w:tc>
          <w:tcPr>
            <w:tcW w:w="3827" w:type="dxa"/>
            <w:noWrap w:val="0"/>
            <w:vAlign w:val="center"/>
          </w:tcPr>
          <w:p>
            <w:pPr>
              <w:autoSpaceDE w:val="0"/>
              <w:autoSpaceDN w:val="0"/>
              <w:snapToGrid w:val="0"/>
              <w:spacing w:line="360" w:lineRule="auto"/>
              <w:jc w:val="center"/>
              <w:rPr>
                <w:rFonts w:hint="eastAsia" w:ascii="宋体" w:hAnsi="宋体"/>
                <w:sz w:val="24"/>
                <w:szCs w:val="21"/>
              </w:rPr>
            </w:pPr>
            <w:r>
              <w:rPr>
                <w:rFonts w:hint="eastAsia" w:ascii="宋体" w:hAnsi="宋体"/>
                <w:sz w:val="24"/>
                <w:szCs w:val="21"/>
              </w:rPr>
              <w:t>计算机设备购置项目</w:t>
            </w:r>
          </w:p>
        </w:tc>
        <w:tc>
          <w:tcPr>
            <w:tcW w:w="2037" w:type="dxa"/>
            <w:noWrap w:val="0"/>
            <w:vAlign w:val="center"/>
          </w:tcPr>
          <w:p>
            <w:pPr>
              <w:autoSpaceDE w:val="0"/>
              <w:autoSpaceDN w:val="0"/>
              <w:snapToGrid w:val="0"/>
              <w:spacing w:line="360" w:lineRule="auto"/>
              <w:jc w:val="center"/>
              <w:rPr>
                <w:rFonts w:hint="eastAsia" w:ascii="宋体" w:hAnsi="宋体"/>
                <w:sz w:val="24"/>
                <w:szCs w:val="21"/>
              </w:rPr>
            </w:pPr>
            <w:r>
              <w:rPr>
                <w:rFonts w:hint="eastAsia" w:ascii="宋体" w:hAnsi="宋体"/>
                <w:sz w:val="24"/>
                <w:szCs w:val="21"/>
              </w:rPr>
              <w:t>1批</w:t>
            </w:r>
          </w:p>
        </w:tc>
        <w:tc>
          <w:tcPr>
            <w:tcW w:w="2464" w:type="dxa"/>
            <w:noWrap w:val="0"/>
            <w:vAlign w:val="center"/>
          </w:tcPr>
          <w:p>
            <w:pPr>
              <w:autoSpaceDE w:val="0"/>
              <w:autoSpaceDN w:val="0"/>
              <w:snapToGrid w:val="0"/>
              <w:spacing w:line="360" w:lineRule="auto"/>
              <w:jc w:val="center"/>
              <w:rPr>
                <w:rFonts w:hint="eastAsia" w:ascii="宋体" w:hAnsi="宋体"/>
                <w:sz w:val="24"/>
                <w:szCs w:val="21"/>
              </w:rPr>
            </w:pPr>
            <w:r>
              <w:rPr>
                <w:rFonts w:hint="eastAsia" w:ascii="宋体" w:hAnsi="宋体"/>
                <w:sz w:val="24"/>
                <w:szCs w:val="21"/>
              </w:rPr>
              <w:t>61.88万元</w:t>
            </w:r>
          </w:p>
        </w:tc>
      </w:tr>
    </w:tbl>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1、投标人应以子包单位的内容进行投标，不允许只对子包内部分内容进行投标。合同履行期限：</w:t>
      </w:r>
      <w:bookmarkStart w:id="0" w:name="EB0ce3ebad751248768157d79b064425a5"/>
      <w:r>
        <w:rPr>
          <w:rFonts w:hint="eastAsia" w:ascii="宋体" w:hAnsi="宋体"/>
          <w:sz w:val="24"/>
        </w:rPr>
        <w:t>必须在合同签订后30个日历天内完成设备供货、安装调试并投入运行，运行后组织验收。</w:t>
      </w:r>
      <w:bookmarkEnd w:id="0"/>
      <w:r>
        <w:rPr>
          <w:rFonts w:hint="eastAsia" w:ascii="宋体" w:hAnsi="宋体"/>
          <w:sz w:val="24"/>
        </w:rPr>
        <w:t>具体要求详见招标文件第二部分“采购需求书”。</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2、项目属性：</w:t>
      </w:r>
      <w:r>
        <w:rPr>
          <w:rFonts w:hint="eastAsia" w:ascii="宋体" w:hAnsi="宋体"/>
          <w:sz w:val="24"/>
        </w:rPr>
        <w:t>货物类</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3、采购品目：</w:t>
      </w:r>
      <w:r>
        <w:rPr>
          <w:rFonts w:hint="eastAsia" w:ascii="宋体" w:hAnsi="宋体"/>
          <w:sz w:val="24"/>
        </w:rPr>
        <w:t>计算机</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4、需落实的采购政策：本项目不属于专门面向中小微企业采购的项目。</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六、供应商资格</w:t>
      </w:r>
      <w:r>
        <w:rPr>
          <w:rFonts w:hint="eastAsia" w:ascii="宋体" w:hAnsi="宋体"/>
          <w:sz w:val="24"/>
        </w:rPr>
        <w:t>条件：</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1、具备《中华人民共和国政府采购法》第二十二条资格条件</w:t>
      </w:r>
      <w:r>
        <w:rPr>
          <w:rFonts w:hint="eastAsia" w:ascii="宋体" w:hAnsi="宋体"/>
          <w:sz w:val="24"/>
        </w:rPr>
        <w:t>，提供以下资料：</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1.1 提供在中华人民共和国境内有效的执照（或证书）副本、组织机构代码证、税务登记证（国税、地税）复印件或三证合一证明文件复印件证明，投标人需提供完整的最新股东信息（若有）。分公司投标的，必须提供总公司的营业执照副本复印件及总公司针对本项目投标的授权书原件；如投标人为自然人的需提供自然人身份证明；</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 xml:space="preserve">1.2 提供体现财务状况的证明文件或银行出具的资信证明； </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 xml:space="preserve">1.3提供2021年任一个月依法缴纳税收的相关证明材料，如依法免税的，应提供相应文件证明其依法免税； </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 xml:space="preserve">1.4 提供2021年任意一个月的依法缴纳社会保险的证明（含缴费凭证）复印件，如依法不需要缴纳社会保障资金的，应提供相应文件证明其依法不需要缴纳社会保障资金； </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1.5 提供履行合同所必需的设备和专业技术能力的书面声明；</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1.6 提供参加政府采购活动前3年内在经营活动中没有重大违法记录的书面声明；</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1.7</w:t>
      </w:r>
      <w:r>
        <w:rPr>
          <w:rFonts w:hint="eastAsia" w:ascii="宋体" w:hAnsi="宋体"/>
          <w:sz w:val="24"/>
        </w:rPr>
        <w:t xml:space="preserve"> 供符合法律、行政法规规定的其他条件的书面声明。</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2、不同的供应商之间有下列情形之一的，不接受作为参与同一采购项目竞争的供应商：法定代表人或单位负责人为同一人或者存在直接控股、管理关系</w:t>
      </w:r>
      <w:r>
        <w:rPr>
          <w:rFonts w:hint="eastAsia" w:ascii="宋体" w:hAnsi="宋体"/>
          <w:sz w:val="24"/>
        </w:rPr>
        <w:t>的不同供应；为</w:t>
      </w:r>
      <w:r>
        <w:rPr>
          <w:rFonts w:hint="eastAsia" w:ascii="宋体" w:hAnsi="宋体"/>
          <w:sz w:val="24"/>
        </w:rPr>
        <w:t>本项目提供整体设计、规范编制或者项目管理、监理、检测等服务的供应商</w:t>
      </w:r>
      <w:r>
        <w:rPr>
          <w:rFonts w:hint="eastAsia" w:ascii="宋体" w:hAnsi="宋体"/>
          <w:sz w:val="24"/>
        </w:rPr>
        <w:t>。（提供书面声明）</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3、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如“信用中国”网站查询结果显示“没有找到您搜索的企业”或“没有找到您搜索数据”，视为没有上述三类不良信用记录）。</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4、本项目各包组不允许联合投标。</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备注：</w:t>
      </w:r>
      <w:r>
        <w:rPr>
          <w:rFonts w:hint="eastAsia" w:ascii="宋体" w:hAnsi="宋体"/>
          <w:sz w:val="24"/>
        </w:rPr>
        <w:t>获取采购文件时，投标人须携带以下资料（加盖单位公章）： 1）有效的执照（或证书）副本、组织机构代码证、税务登记证（国税、地税）复印件或三证合一证明文件复印件证明。分公司投标的，必须提供总公司的营业执照副本复印件及总公司针对本项目投标的授权书原件,如投标人为自然人的需提供自然人身份证明； 2）法定代表人证明书及法定代表人授权委托书原件（若投标授权代表为法定代表人，则只需提供法定代表人证明书）； 3）法定代表人及投标人授权代表身份证复印件（若投标授权代表为法定代表人，则只需提供法定代表人身份证复印件）</w:t>
      </w:r>
      <w:r>
        <w:rPr>
          <w:rFonts w:hint="eastAsia" w:ascii="宋体" w:hAnsi="宋体"/>
          <w:sz w:val="24"/>
        </w:rPr>
        <w:t>。</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七、符合资格的供应商应当在2021年7月14日起至2021年7月20日期间（上午8：30-11：30，下午14：00-17：30，不少于5个工作日，法定节假日除外）到广东建海工程项目管理有限公司（详细地址：广州市黄埔区科汇金谷科汇二街13号A3栋903房）购买招标文件，招标文件每套售价300元（人民币），售后不退（疫情期间供应商可按资格要求将报名资料扫描发送致290216125@qq.com。经确认成功报名单位可在线上领取招标文件等资料）。采购代理机构只接受报名购买本项目招标文件供应商的投标。</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八、投标截止时间：2021年8月5日9</w:t>
      </w:r>
      <w:r>
        <w:rPr>
          <w:rFonts w:hint="eastAsia" w:ascii="宋体" w:hAnsi="宋体"/>
          <w:sz w:val="24"/>
        </w:rPr>
        <w:t>时30分。(注：投标截止时间前半小时，采购代理机构开始接收投标文件)</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九、投标文件送达地点：广州市黄埔区科汇金谷科汇二街13号A3栋903房会议室。</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十、开标时间：2021 年8月 5日9时30分。</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十一、开标评标地点：广州市黄埔区科汇金谷科汇二街13号A3栋903房会议室。</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十二、本公告期限自2021年7月14日至2021年7月20日止。</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十三、联系事项：</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（一）采 购 人：广东省广裕集团东莞兴龙实业有限公司</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地    址：东莞市石龙镇新洲</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联 系 人：陈工</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电    话：0769-86333931</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（二）采购代理机构的名称、地址和联系方式：</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采购代理机构：广东建海工程项目管理有限公司</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地    址：广州市黄埔区科汇金谷科汇二街13号A3栋903房。</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联 系 人：农工 罗工</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 xml:space="preserve">电  </w:t>
      </w:r>
      <w:r>
        <w:rPr>
          <w:rFonts w:hint="eastAsia" w:ascii="宋体" w:hAnsi="宋体"/>
          <w:sz w:val="24"/>
        </w:rPr>
        <w:t xml:space="preserve">  话：020－85675978     传 </w:t>
      </w:r>
      <w:r>
        <w:rPr>
          <w:rFonts w:hint="eastAsia" w:ascii="宋体" w:hAnsi="宋体"/>
          <w:sz w:val="24"/>
        </w:rPr>
        <w:t xml:space="preserve">  </w:t>
      </w:r>
      <w:r>
        <w:rPr>
          <w:rFonts w:hint="eastAsia" w:ascii="宋体" w:hAnsi="宋体"/>
          <w:sz w:val="24"/>
        </w:rPr>
        <w:t xml:space="preserve"> 真：020－86541208</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（三）采购项目联系人：农工       联系电话：020－85675978 13710767553</w:t>
      </w:r>
    </w:p>
    <w:p>
      <w:pPr>
        <w:widowControl/>
        <w:snapToGrid w:val="0"/>
        <w:spacing w:line="360" w:lineRule="auto"/>
        <w:rPr>
          <w:rFonts w:hint="eastAsia" w:ascii="宋体" w:hAnsi="宋体"/>
          <w:sz w:val="24"/>
        </w:rPr>
      </w:pPr>
    </w:p>
    <w:p>
      <w:pPr>
        <w:snapToGrid w:val="0"/>
        <w:spacing w:line="360" w:lineRule="auto"/>
        <w:ind w:firstLine="600" w:firstLineChars="250"/>
        <w:jc w:val="right"/>
        <w:rPr>
          <w:rFonts w:hint="eastAsia" w:ascii="宋体" w:hAnsi="宋体"/>
          <w:sz w:val="24"/>
        </w:rPr>
      </w:pPr>
    </w:p>
    <w:p>
      <w:pPr>
        <w:snapToGrid w:val="0"/>
        <w:spacing w:line="360" w:lineRule="auto"/>
        <w:ind w:firstLine="600" w:firstLineChars="250"/>
        <w:jc w:val="right"/>
        <w:rPr>
          <w:rFonts w:hint="eastAsia" w:ascii="宋体" w:hAnsi="宋体"/>
          <w:sz w:val="24"/>
        </w:rPr>
      </w:pPr>
      <w:bookmarkStart w:id="1" w:name="_GoBack"/>
      <w:bookmarkEnd w:id="1"/>
    </w:p>
    <w:p>
      <w:pPr>
        <w:snapToGrid w:val="0"/>
        <w:spacing w:line="360" w:lineRule="auto"/>
        <w:ind w:firstLine="600" w:firstLineChars="250"/>
        <w:jc w:val="right"/>
        <w:rPr>
          <w:rFonts w:hint="eastAsia" w:ascii="宋体" w:hAnsi="宋体"/>
          <w:sz w:val="24"/>
        </w:rPr>
      </w:pPr>
    </w:p>
    <w:p>
      <w:pPr>
        <w:snapToGrid w:val="0"/>
        <w:spacing w:line="360" w:lineRule="auto"/>
        <w:ind w:firstLine="600" w:firstLineChars="250"/>
        <w:jc w:val="right"/>
        <w:rPr>
          <w:rFonts w:hint="eastAsia" w:ascii="宋体" w:hAnsi="宋体"/>
          <w:sz w:val="24"/>
        </w:rPr>
      </w:pPr>
      <w:r>
        <w:rPr>
          <w:rFonts w:hint="eastAsia" w:ascii="宋体" w:hAnsi="宋体"/>
          <w:sz w:val="24"/>
        </w:rPr>
        <w:t>广东建海工程项目管理有限公司</w:t>
      </w:r>
    </w:p>
    <w:p>
      <w:pPr>
        <w:snapToGrid w:val="0"/>
        <w:spacing w:line="360" w:lineRule="auto"/>
        <w:ind w:firstLine="600" w:firstLineChars="250"/>
        <w:jc w:val="right"/>
        <w:rPr>
          <w:rFonts w:hint="eastAsia" w:ascii="宋体" w:hAnsi="宋体"/>
          <w:sz w:val="24"/>
        </w:rPr>
      </w:pPr>
    </w:p>
    <w:p>
      <w:pPr>
        <w:snapToGrid w:val="0"/>
        <w:spacing w:line="360" w:lineRule="auto"/>
        <w:ind w:firstLine="600" w:firstLineChars="250"/>
        <w:jc w:val="right"/>
        <w:rPr>
          <w:rFonts w:hint="eastAsia" w:ascii="宋体" w:hAnsi="宋体"/>
          <w:sz w:val="24"/>
        </w:rPr>
      </w:pPr>
    </w:p>
    <w:p>
      <w:pPr>
        <w:wordWrap w:val="0"/>
        <w:snapToGrid w:val="0"/>
        <w:spacing w:line="360" w:lineRule="auto"/>
        <w:ind w:firstLine="600" w:firstLineChars="250"/>
        <w:jc w:val="right"/>
        <w:rPr>
          <w:rFonts w:hint="eastAsia" w:ascii="宋体" w:hAnsi="宋体"/>
          <w:sz w:val="24"/>
        </w:rPr>
      </w:pPr>
      <w:r>
        <w:rPr>
          <w:rFonts w:ascii="宋体" w:hAnsi="宋体"/>
          <w:sz w:val="24"/>
        </w:rPr>
        <w:t>2021年</w:t>
      </w:r>
      <w:r>
        <w:rPr>
          <w:rFonts w:hint="eastAsia" w:ascii="宋体" w:hAnsi="宋体"/>
          <w:sz w:val="24"/>
        </w:rPr>
        <w:t>7月13</w:t>
      </w:r>
      <w:r>
        <w:rPr>
          <w:rFonts w:ascii="宋体" w:hAnsi="宋体"/>
          <w:sz w:val="24"/>
        </w:rPr>
        <w:t>日</w:t>
      </w:r>
      <w:r>
        <w:rPr>
          <w:rFonts w:hint="eastAsia" w:ascii="宋体" w:hAnsi="宋体"/>
          <w:sz w:val="24"/>
        </w:rPr>
        <w:t xml:space="preserve">   </w:t>
      </w:r>
    </w:p>
    <w:p>
      <w:pPr>
        <w:pStyle w:val="2"/>
        <w:jc w:val="both"/>
        <w:rPr>
          <w:rFonts w:ascii="宋体" w:hAnsi="宋体"/>
          <w:b/>
          <w:sz w:val="52"/>
          <w:szCs w:val="84"/>
        </w:rPr>
      </w:pPr>
    </w:p>
    <w:p>
      <w:pPr>
        <w:pStyle w:val="2"/>
        <w:jc w:val="both"/>
        <w:rPr>
          <w:rFonts w:ascii="宋体" w:hAnsi="宋体"/>
          <w:b/>
          <w:sz w:val="52"/>
          <w:szCs w:val="84"/>
        </w:rPr>
      </w:pPr>
    </w:p>
    <w:sectPr>
      <w:pgSz w:w="11906" w:h="16838"/>
      <w:pgMar w:top="1134"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070F7"/>
    <w:rsid w:val="036B15B8"/>
    <w:rsid w:val="042421E7"/>
    <w:rsid w:val="05E44CDB"/>
    <w:rsid w:val="074D3145"/>
    <w:rsid w:val="07AA6579"/>
    <w:rsid w:val="07F34C7F"/>
    <w:rsid w:val="086B0FCE"/>
    <w:rsid w:val="0AF03C69"/>
    <w:rsid w:val="0B6A7B9E"/>
    <w:rsid w:val="0D0079C2"/>
    <w:rsid w:val="0D0158C7"/>
    <w:rsid w:val="0D3D5DCE"/>
    <w:rsid w:val="0FD36CD7"/>
    <w:rsid w:val="10D070F7"/>
    <w:rsid w:val="10E33C98"/>
    <w:rsid w:val="11DC7FFE"/>
    <w:rsid w:val="12CC5A6C"/>
    <w:rsid w:val="18901E59"/>
    <w:rsid w:val="1BAB5150"/>
    <w:rsid w:val="1BBE25E9"/>
    <w:rsid w:val="1C633893"/>
    <w:rsid w:val="1E29333F"/>
    <w:rsid w:val="1EEA1E84"/>
    <w:rsid w:val="20656C2B"/>
    <w:rsid w:val="20CB0CC0"/>
    <w:rsid w:val="219C3E14"/>
    <w:rsid w:val="21B6625F"/>
    <w:rsid w:val="22C8536B"/>
    <w:rsid w:val="24295BE5"/>
    <w:rsid w:val="247A0B35"/>
    <w:rsid w:val="264E3F9C"/>
    <w:rsid w:val="27AB3A2D"/>
    <w:rsid w:val="27FF6271"/>
    <w:rsid w:val="281907B9"/>
    <w:rsid w:val="2A170C8B"/>
    <w:rsid w:val="2D605087"/>
    <w:rsid w:val="2D634C7A"/>
    <w:rsid w:val="2E7C502C"/>
    <w:rsid w:val="31A554D3"/>
    <w:rsid w:val="322E7D01"/>
    <w:rsid w:val="327F40E7"/>
    <w:rsid w:val="3305402C"/>
    <w:rsid w:val="33427D28"/>
    <w:rsid w:val="344876A6"/>
    <w:rsid w:val="34D7022D"/>
    <w:rsid w:val="36710FE9"/>
    <w:rsid w:val="36B3672F"/>
    <w:rsid w:val="36D84728"/>
    <w:rsid w:val="378757C0"/>
    <w:rsid w:val="382402A2"/>
    <w:rsid w:val="397A40F4"/>
    <w:rsid w:val="39D333A9"/>
    <w:rsid w:val="3A0E4FA8"/>
    <w:rsid w:val="3A5B5544"/>
    <w:rsid w:val="3AEA0407"/>
    <w:rsid w:val="3B5A0E52"/>
    <w:rsid w:val="3C125344"/>
    <w:rsid w:val="3C981453"/>
    <w:rsid w:val="3DB75D2B"/>
    <w:rsid w:val="3E657A94"/>
    <w:rsid w:val="3E666219"/>
    <w:rsid w:val="3F1C27AC"/>
    <w:rsid w:val="3F556828"/>
    <w:rsid w:val="401C7A51"/>
    <w:rsid w:val="41545457"/>
    <w:rsid w:val="42463C5C"/>
    <w:rsid w:val="44166990"/>
    <w:rsid w:val="44426D91"/>
    <w:rsid w:val="447D628C"/>
    <w:rsid w:val="451220E1"/>
    <w:rsid w:val="45797165"/>
    <w:rsid w:val="4627555B"/>
    <w:rsid w:val="465846B5"/>
    <w:rsid w:val="47AA7876"/>
    <w:rsid w:val="484E50DA"/>
    <w:rsid w:val="49926960"/>
    <w:rsid w:val="49FA25E6"/>
    <w:rsid w:val="4CC7796A"/>
    <w:rsid w:val="50537B72"/>
    <w:rsid w:val="50A7785A"/>
    <w:rsid w:val="50BF0897"/>
    <w:rsid w:val="510D63CB"/>
    <w:rsid w:val="5333735F"/>
    <w:rsid w:val="537B6B36"/>
    <w:rsid w:val="5503004A"/>
    <w:rsid w:val="551175A3"/>
    <w:rsid w:val="558E1980"/>
    <w:rsid w:val="56216207"/>
    <w:rsid w:val="56323DA0"/>
    <w:rsid w:val="589222DD"/>
    <w:rsid w:val="58D618E2"/>
    <w:rsid w:val="58E34FB6"/>
    <w:rsid w:val="599719FB"/>
    <w:rsid w:val="5C7B2436"/>
    <w:rsid w:val="5D3B17D7"/>
    <w:rsid w:val="5DE56CE6"/>
    <w:rsid w:val="5FB04E00"/>
    <w:rsid w:val="61FD5014"/>
    <w:rsid w:val="621A2A36"/>
    <w:rsid w:val="67756E14"/>
    <w:rsid w:val="687C08EC"/>
    <w:rsid w:val="68C61E20"/>
    <w:rsid w:val="6AD025F1"/>
    <w:rsid w:val="6C253106"/>
    <w:rsid w:val="6C2F01A8"/>
    <w:rsid w:val="6EC40230"/>
    <w:rsid w:val="6F51544B"/>
    <w:rsid w:val="70570CB4"/>
    <w:rsid w:val="70CB4B06"/>
    <w:rsid w:val="75053256"/>
    <w:rsid w:val="759A7EC0"/>
    <w:rsid w:val="76115C6F"/>
    <w:rsid w:val="762C2895"/>
    <w:rsid w:val="769E774D"/>
    <w:rsid w:val="76E8727C"/>
    <w:rsid w:val="788A1777"/>
    <w:rsid w:val="7AD5195B"/>
    <w:rsid w:val="7BFE6685"/>
    <w:rsid w:val="7C4D0C36"/>
    <w:rsid w:val="7C634018"/>
    <w:rsid w:val="7C8112C0"/>
    <w:rsid w:val="7D6B7F52"/>
    <w:rsid w:val="7E384CF8"/>
    <w:rsid w:val="7E402695"/>
    <w:rsid w:val="7EF936AE"/>
    <w:rsid w:val="7F5354C5"/>
    <w:rsid w:val="7F9432B9"/>
    <w:rsid w:val="7FB96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center"/>
    </w:pPr>
    <w:rPr>
      <w:rFonts w:ascii="Times New Roman" w:hAnsi="Times New Roman" w:eastAsia="宋体" w:cs="Times New Roman"/>
      <w:kern w:val="2"/>
      <w:sz w:val="24"/>
      <w:szCs w:val="22"/>
      <w:lang w:val="en-US" w:eastAsia="zh-CN" w:bidi="ar-SA"/>
    </w:rPr>
  </w:style>
  <w:style w:type="paragraph" w:styleId="3">
    <w:name w:val="heading 1"/>
    <w:basedOn w:val="1"/>
    <w:next w:val="1"/>
    <w:link w:val="18"/>
    <w:qFormat/>
    <w:uiPriority w:val="0"/>
    <w:pPr>
      <w:spacing w:beforeAutospacing="0" w:afterAutospacing="0"/>
      <w:jc w:val="center"/>
      <w:outlineLvl w:val="0"/>
    </w:pPr>
    <w:rPr>
      <w:rFonts w:hint="eastAsia" w:ascii="宋体" w:hAnsi="宋体" w:eastAsia="仿宋" w:cs="Times New Roman"/>
      <w:b/>
      <w:kern w:val="44"/>
      <w:sz w:val="32"/>
      <w:szCs w:val="48"/>
    </w:rPr>
  </w:style>
  <w:style w:type="paragraph" w:styleId="4">
    <w:name w:val="heading 2"/>
    <w:basedOn w:val="1"/>
    <w:next w:val="5"/>
    <w:link w:val="19"/>
    <w:semiHidden/>
    <w:unhideWhenUsed/>
    <w:qFormat/>
    <w:uiPriority w:val="0"/>
    <w:pPr>
      <w:jc w:val="center"/>
      <w:outlineLvl w:val="1"/>
    </w:pPr>
    <w:rPr>
      <w:rFonts w:ascii="Times New Roman" w:hAnsi="Times New Roman" w:eastAsia="楷体" w:cs="Times New Roman"/>
      <w:b/>
      <w:color w:val="000000" w:themeColor="text1"/>
      <w:sz w:val="28"/>
      <w:szCs w:val="21"/>
      <w14:textFill>
        <w14:solidFill>
          <w14:schemeClr w14:val="tx1"/>
        </w14:solidFill>
      </w14:textFill>
    </w:rPr>
  </w:style>
  <w:style w:type="paragraph" w:styleId="6">
    <w:name w:val="heading 3"/>
    <w:basedOn w:val="5"/>
    <w:next w:val="5"/>
    <w:link w:val="20"/>
    <w:semiHidden/>
    <w:unhideWhenUsed/>
    <w:qFormat/>
    <w:uiPriority w:val="0"/>
    <w:pPr>
      <w:keepNext/>
      <w:keepLines/>
      <w:spacing w:beforeLines="0" w:beforeAutospacing="0" w:afterLines="0" w:afterAutospacing="0"/>
      <w:jc w:val="center"/>
      <w:outlineLvl w:val="2"/>
    </w:pPr>
    <w:rPr>
      <w:rFonts w:ascii="宋体" w:hAnsi="宋体" w:eastAsia="仿宋" w:cs="Times New Roman"/>
      <w:b/>
      <w:kern w:val="0"/>
      <w:sz w:val="28"/>
      <w:szCs w:val="24"/>
      <w:lang w:bidi="ar-SA"/>
    </w:rPr>
  </w:style>
  <w:style w:type="paragraph" w:styleId="7">
    <w:name w:val="heading 4"/>
    <w:basedOn w:val="1"/>
    <w:next w:val="1"/>
    <w:semiHidden/>
    <w:unhideWhenUsed/>
    <w:qFormat/>
    <w:uiPriority w:val="0"/>
    <w:pPr>
      <w:keepNext/>
      <w:keepLines/>
      <w:spacing w:line="240" w:lineRule="auto"/>
      <w:jc w:val="center"/>
      <w:outlineLvl w:val="3"/>
    </w:pPr>
    <w:rPr>
      <w:rFonts w:ascii="Arial" w:hAnsi="Arial" w:eastAsia="仿宋"/>
      <w:b/>
      <w:bCs/>
      <w:sz w:val="28"/>
      <w:szCs w:val="28"/>
    </w:rPr>
  </w:style>
  <w:style w:type="character" w:default="1" w:styleId="16">
    <w:name w:val="Default Paragraph Font"/>
    <w:semiHidden/>
    <w:unhideWhenUsed/>
    <w:qFormat/>
    <w:uiPriority w:val="1"/>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5">
    <w:name w:val="Normal Indent"/>
    <w:basedOn w:val="1"/>
    <w:qFormat/>
    <w:uiPriority w:val="0"/>
    <w:pPr>
      <w:ind w:firstLine="420" w:firstLineChars="200"/>
    </w:pPr>
  </w:style>
  <w:style w:type="paragraph" w:styleId="8">
    <w:name w:val="Body Text First Indent"/>
    <w:basedOn w:val="9"/>
    <w:qFormat/>
    <w:uiPriority w:val="0"/>
    <w:pPr>
      <w:ind w:firstLine="0" w:firstLineChars="0"/>
      <w:jc w:val="left"/>
    </w:pPr>
    <w:rPr>
      <w:rFonts w:ascii="Times New Roman" w:hAnsi="Times New Roman" w:eastAsia="宋体"/>
      <w:kern w:val="2"/>
      <w:szCs w:val="24"/>
    </w:rPr>
  </w:style>
  <w:style w:type="paragraph" w:styleId="9">
    <w:name w:val="Body Text"/>
    <w:basedOn w:val="1"/>
    <w:qFormat/>
    <w:uiPriority w:val="0"/>
    <w:pPr>
      <w:spacing w:after="120" w:afterLines="0" w:afterAutospacing="0"/>
    </w:pPr>
  </w:style>
  <w:style w:type="paragraph" w:styleId="10">
    <w:name w:val="toc 3"/>
    <w:basedOn w:val="1"/>
    <w:next w:val="1"/>
    <w:qFormat/>
    <w:uiPriority w:val="0"/>
    <w:pPr>
      <w:ind w:left="840" w:leftChars="400"/>
    </w:pPr>
    <w:rPr>
      <w:rFonts w:ascii="Times New Roman" w:hAnsi="Times New Roman" w:eastAsia="仿宋"/>
      <w:sz w:val="28"/>
      <w:szCs w:val="21"/>
    </w:rPr>
  </w:style>
  <w:style w:type="paragraph" w:styleId="11">
    <w:name w:val="footer"/>
    <w:basedOn w:val="1"/>
    <w:next w:val="1"/>
    <w:qFormat/>
    <w:uiPriority w:val="0"/>
    <w:pPr>
      <w:tabs>
        <w:tab w:val="center" w:pos="4153"/>
        <w:tab w:val="right" w:pos="8306"/>
      </w:tabs>
      <w:snapToGrid w:val="0"/>
      <w:jc w:val="left"/>
    </w:pPr>
    <w:rPr>
      <w:sz w:val="24"/>
    </w:rPr>
  </w:style>
  <w:style w:type="paragraph" w:styleId="12">
    <w:name w:val="toc 1"/>
    <w:basedOn w:val="1"/>
    <w:next w:val="1"/>
    <w:qFormat/>
    <w:uiPriority w:val="0"/>
    <w:pPr>
      <w:tabs>
        <w:tab w:val="right" w:leader="dot" w:pos="9402"/>
      </w:tabs>
      <w:spacing w:line="240" w:lineRule="auto"/>
      <w:ind w:left="822" w:hanging="822"/>
      <w:jc w:val="center"/>
    </w:pPr>
    <w:rPr>
      <w:rFonts w:ascii="宋体" w:hAnsi="宋体" w:eastAsia="仿宋" w:cs="宋体"/>
      <w:sz w:val="32"/>
      <w:szCs w:val="21"/>
    </w:rPr>
  </w:style>
  <w:style w:type="paragraph" w:styleId="13">
    <w:name w:val="toc 2"/>
    <w:basedOn w:val="1"/>
    <w:next w:val="1"/>
    <w:qFormat/>
    <w:uiPriority w:val="0"/>
    <w:pPr>
      <w:tabs>
        <w:tab w:val="right" w:leader="dot" w:pos="9402"/>
      </w:tabs>
      <w:spacing w:line="240" w:lineRule="auto"/>
      <w:ind w:left="993" w:leftChars="202" w:hanging="569" w:hangingChars="237"/>
    </w:pPr>
    <w:rPr>
      <w:rFonts w:ascii="Times New Roman" w:hAnsi="Times New Roman" w:eastAsia="仿宋"/>
      <w:sz w:val="28"/>
      <w:szCs w:val="21"/>
    </w:rPr>
  </w:style>
  <w:style w:type="paragraph" w:styleId="14">
    <w:name w:val="Normal (Web)"/>
    <w:basedOn w:val="1"/>
    <w:qFormat/>
    <w:uiPriority w:val="0"/>
    <w:pPr>
      <w:widowControl/>
      <w:spacing w:beforeLines="0" w:beforeAutospacing="0" w:afterLines="0" w:afterAutospacing="0"/>
      <w:jc w:val="left"/>
    </w:pPr>
    <w:rPr>
      <w:rFonts w:ascii="宋体" w:hAnsi="宋体" w:eastAsia="仿宋" w:cs="Times New Roman"/>
      <w:color w:val="000000"/>
      <w:kern w:val="0"/>
      <w:sz w:val="21"/>
      <w:szCs w:val="24"/>
    </w:rPr>
  </w:style>
  <w:style w:type="paragraph" w:styleId="15">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18">
    <w:name w:val="标题 1 Char"/>
    <w:basedOn w:val="16"/>
    <w:link w:val="3"/>
    <w:qFormat/>
    <w:uiPriority w:val="0"/>
    <w:rPr>
      <w:rFonts w:ascii="宋体" w:hAnsi="宋体" w:eastAsia="仿宋" w:cs="Times New Roman"/>
      <w:b/>
      <w:bCs/>
      <w:kern w:val="44"/>
      <w:sz w:val="32"/>
      <w:szCs w:val="24"/>
      <w:lang w:val="en-US" w:eastAsia="zh-CN" w:bidi="ar-SA"/>
    </w:rPr>
  </w:style>
  <w:style w:type="character" w:customStyle="1" w:styleId="19">
    <w:name w:val="标题 2 Char"/>
    <w:basedOn w:val="16"/>
    <w:link w:val="4"/>
    <w:qFormat/>
    <w:uiPriority w:val="99"/>
    <w:rPr>
      <w:rFonts w:ascii="Times New Roman" w:hAnsi="Times New Roman" w:eastAsia="楷体" w:cs="Times New Roman"/>
      <w:b/>
      <w:bCs/>
      <w:color w:val="000000" w:themeColor="text1"/>
      <w:sz w:val="28"/>
      <w:szCs w:val="21"/>
      <w:lang w:val="en-US" w:eastAsia="zh-CN" w:bidi="ar-SA"/>
      <w14:textFill>
        <w14:solidFill>
          <w14:schemeClr w14:val="tx1"/>
        </w14:solidFill>
      </w14:textFill>
    </w:rPr>
  </w:style>
  <w:style w:type="character" w:customStyle="1" w:styleId="20">
    <w:name w:val="标题 3 Char"/>
    <w:link w:val="6"/>
    <w:qFormat/>
    <w:uiPriority w:val="0"/>
    <w:rPr>
      <w:rFonts w:ascii="宋体" w:hAnsi="宋体" w:eastAsia="仿宋" w:cs="Times New Roman"/>
      <w:b/>
      <w:kern w:val="0"/>
      <w:sz w:val="2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2021-07-14T01:12:00Z</dcterms:created>
  <dc:creator>宇</dc:creator>
  <cp:lastModifiedBy>宇</cp:lastModifiedBy>
  <dcterms:modified xsi:type="dcterms:W3CDTF">2021-07-14T01:13:59Z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